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항소장 및 항소이유서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원고/신청인/피고인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color w:val="000000"/>
          <w:sz w:val="24"/>
        </w:rPr>
        <w:t>[성명·주소·연락처]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피고/상대방/검사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color w:val="000000"/>
          <w:sz w:val="24"/>
        </w:rPr>
        <w:t>[성명·기관·주소]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color w:val="000000"/>
          <w:sz w:val="24"/>
          <w:rtl w:val="off"/>
        </w:rPr>
      </w:pPr>
    </w:p>
    <w:p>
      <w:pPr>
        <w:jc w:val="left"/>
        <w:spacing w:line="360" w:lineRule="auto"/>
        <w:rPr>
          <w:sz w:val="28"/>
          <w:szCs w:val="28"/>
        </w:rPr>
      </w:pP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 xml:space="preserve">원심의 판결에 불복하여 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항소를 제기</w:t>
      </w:r>
      <w:r>
        <w:rPr>
          <w:rFonts w:ascii="맑은 고딕" w:eastAsia="맑은 고딕" w:hAnsi="맑은 고딕"/>
          <w:b/>
          <w:bCs/>
          <w:color w:val="000000"/>
          <w:sz w:val="24"/>
        </w:rPr>
        <w:t>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항소취지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제1심판결을 [취소/변경]한다.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[원고의 청구를 인용한다 / 피고의 청구를 기각한다 / 처분을 취소한다 / 사건유형별 주문]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소송 총비용은 [피고/피항소인]이 부담한다.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판결을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TemplateNote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장은 뒤의 각 주장에 공통으로 적용되는 법령, 판례, 헌법 조항, 증거와 입증취지를 먼저 정리하는 부분입니다. 각 항목에는 반드시 사건과 직접 관련되는 자료만 기재하고, 적용조문·시행 당시 법령·판례의 선고일과 사건번호를 확인합니다.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실체법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[법률명·조문·요건·효과를 원문 또는 정확한 요지로 기재]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예: 계약법, 불법행위법, 행정실체법, 형벌법규, 특허법 등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절차법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[관할, 당사자적격, 제소기간, 상소기간, 주장·입증책임, 증거신청, 상소이유에 관한 조문]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명령·규칙·고시·처분기준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[시행령·시행규칙·별표·고시·규정. 법률과의 위임관계와 적용시점을 함께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관련 판례 및 헌법재판소 결정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[사건번호, 선고·결정일, 핵심 법리, 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관련 헌법 조항과 헌법상 원칙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[사건과 직접 연결되는 조항만 선택: 인간의 존엄, 평등, 신체의 자유, 재산권, 직업의 자유, 표현의 자유, 사생활, 적법절차, 재판청구권, 법률유보, 명확성, 신뢰보호, 비례·과잉금지 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949"/>
        <w:gridCol w:w="1949"/>
        <w:gridCol w:w="1949"/>
        <w:gridCol w:w="1949"/>
        <w:gridCol w:w="1949"/>
      </w:tblGrid>
      <w:tr>
        <w:trPr>
          <w:tblHeader/>
        </w:trP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주장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제1심판결의 요지와 항소 범위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[제1심 주문, 판단의 핵심, 항소하는 부분과 불복하지 않는 부분을 특정]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항소이유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사실오인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[제1심이 인정한 사실, 이를 뒤집는 증거, 올바른 사실인정, 판결 결과에 미친 영향]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증거판단의 잘못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[핵심 증거의 내용, 배척 또는 누락된 사정, 경험칙·논리칙 위반]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법률·명령·규칙의 해석·적용 잘못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[적용조문, 제1심 해석, 올바른 해석, 결론 변화]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주장·증거에 대한 판단누락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[제1심에서 명시적으로 주장한 쟁점과 제출 증거, 판결에서 판단되지 않은 부분]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판결이유의 불비·모순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[판단 근거 부족, 전제와 결론의 충돌, 서로 양립할 수 없는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절차상 위법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[석명, 변론권, 증거신청, 송달, 관할, 제척·기피, 방어권 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7. 재량권·형평·비례 판단의 잘못 [해당 사건]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[고려사항 누락, 부당한 고려, 사건별 심사 누락, 덜 침해적인 대안]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헌법상 기본권 및 헌법원칙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제1심판결 및 그 판단의 대상이 된 행위·처분은(는) 단순히 개별 법률의 문언에만 비추어 판단할 것이 아니라 헌법이 보장하는 기본권과 헌법상 원칙에 합치되도록 해석·적용되어야 합니다. 아래 항목 중 사건과 직접 관련된 것만 선택하여, ① 보호영역 또는 비교집단, ② 제한 또는 차별, ③ 법률상 근거, ④ 목적의 정당성, ⑤ 수단의 적합성, ⑥ 침해의 최소성, ⑦ 법익의 균형성, ⑧ 사건 결과에 미친 영향을 구체적으로 기재합니다.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평등원칙: </w:t>
      </w:r>
      <w:r>
        <w:rPr>
          <w:rFonts w:ascii="맑은 고딕" w:eastAsia="맑은 고딕" w:hAnsi="맑은 고딕"/>
          <w:color w:val="000000"/>
          <w:sz w:val="24"/>
        </w:rPr>
        <w:t>[본질적으로 같은 비교대상과 차별취급, 차별기준, 합리적 이유 부재]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법률유보·의회유보: </w:t>
      </w:r>
      <w:r>
        <w:rPr>
          <w:rFonts w:ascii="맑은 고딕" w:eastAsia="맑은 고딕" w:hAnsi="맑은 고딕"/>
          <w:color w:val="000000"/>
          <w:sz w:val="24"/>
        </w:rPr>
        <w:t>[권리 제한 또는 의무 부과의 법률상 근거와 위임의 구체성]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명확성원칙: </w:t>
      </w:r>
      <w:r>
        <w:rPr>
          <w:rFonts w:ascii="맑은 고딕" w:eastAsia="맑은 고딕" w:hAnsi="맑은 고딕"/>
          <w:color w:val="000000"/>
          <w:sz w:val="24"/>
        </w:rPr>
        <w:t>[요건·기준·효과를 당사자가 예측할 수 없는 사정]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비례원칙·과잉금지원칙: </w:t>
      </w:r>
      <w:r>
        <w:rPr>
          <w:rFonts w:ascii="맑은 고딕" w:eastAsia="맑은 고딕" w:hAnsi="맑은 고딕"/>
          <w:color w:val="000000"/>
          <w:sz w:val="24"/>
        </w:rPr>
        <w:t>[덜 침해적인 대안과 전면적 제한의 불균형]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신뢰보호원칙: </w:t>
      </w:r>
      <w:r>
        <w:rPr>
          <w:rFonts w:ascii="맑은 고딕" w:eastAsia="맑은 고딕" w:hAnsi="맑은 고딕"/>
          <w:color w:val="000000"/>
          <w:sz w:val="24"/>
        </w:rPr>
        <w:t>[공적 견해표명, 신뢰, 신뢰에 따른 행위, 보호가치, 공익과의 형량]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재산권·직업의 자유 등 개별 기본권: </w:t>
      </w:r>
      <w:r>
        <w:rPr>
          <w:rFonts w:ascii="맑은 고딕" w:eastAsia="맑은 고딕" w:hAnsi="맑은 고딕"/>
          <w:color w:val="000000"/>
          <w:sz w:val="24"/>
        </w:rPr>
        <w:t>[구체적 권리 또는 법적 지위와 침해 내용]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적법절차·재판청구권·방어권: </w:t>
      </w:r>
      <w:r>
        <w:rPr>
          <w:rFonts w:ascii="맑은 고딕" w:eastAsia="맑은 고딕" w:hAnsi="맑은 고딕"/>
          <w:color w:val="000000"/>
          <w:sz w:val="24"/>
        </w:rPr>
        <w:t>[고지·청문·증거조사·의견진술·판단을 받을 권리의 침해]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헌법합치적 해석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해당 법률조항에 복수의 해석 가능성이 있는 경우에는 기본권 침해를 확대하는 해석보다 헌법에 합치되는 해석을 선택하여야 합니다. [이 사건에서 가능한 합헌적 제한해석]을 구체적으로 제시하고, 상대방 또는 법원이 채택한 해석이 왜 기본권 침해를 초래하는지 밝힙니다.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항소심에서 필요한 심리와 증거조사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[추가 증거, 사실조회, 문서제출명령, 감정, 증인신문 등과 그 필요성]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제1심판결에는 위와 같은 사실오인, 법리오해, 판단누락 및 헌법상 위법이 있으므로 항소취지와 같이 취소 또는 변경되어야 합니다.</w:t>
      </w:r>
    </w:p>
    <w:p>
      <w:pPr>
        <w:spacing w:after="60" w:before="0" w:line="360" w:lineRule="auto"/>
      </w:pP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[작성자/당사자 성명] 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맑은 고딕" w:eastAsia="맑은 고딕" w:hAnsi="맑은 고딕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2026-07-23T03:21:00Z</dcterms:modified>
  <cp:version>1100.0100.01</cp:version>
</cp:coreProperties>
</file>